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3CF3B4" w14:textId="77777777" w:rsidR="00F40886" w:rsidRPr="00347305" w:rsidRDefault="00F40886" w:rsidP="00F40886">
      <w:pPr>
        <w:rPr>
          <w:rFonts w:ascii="仿宋" w:eastAsia="仿宋" w:hAnsi="仿宋"/>
          <w:sz w:val="28"/>
          <w:szCs w:val="28"/>
        </w:rPr>
      </w:pPr>
      <w:r w:rsidRPr="00347305">
        <w:rPr>
          <w:rFonts w:ascii="仿宋" w:eastAsia="仿宋" w:hAnsi="仿宋" w:hint="eastAsia"/>
          <w:sz w:val="28"/>
          <w:szCs w:val="28"/>
        </w:rPr>
        <w:t>附件</w:t>
      </w:r>
      <w:r w:rsidRPr="00347305">
        <w:rPr>
          <w:rFonts w:ascii="仿宋" w:eastAsia="仿宋" w:hAnsi="仿宋"/>
          <w:sz w:val="28"/>
          <w:szCs w:val="28"/>
        </w:rPr>
        <w:t>1</w:t>
      </w:r>
    </w:p>
    <w:p w14:paraId="575E25FE" w14:textId="77777777" w:rsidR="00F40886" w:rsidRPr="00347305" w:rsidRDefault="00F40886" w:rsidP="00F40886">
      <w:pPr>
        <w:widowControl/>
        <w:spacing w:afterLines="30" w:after="93"/>
        <w:jc w:val="center"/>
        <w:rPr>
          <w:rFonts w:ascii="黑体" w:eastAsia="黑体" w:hAnsi="黑体"/>
          <w:sz w:val="30"/>
          <w:szCs w:val="30"/>
        </w:rPr>
      </w:pPr>
      <w:r w:rsidRPr="00347305">
        <w:rPr>
          <w:rFonts w:ascii="黑体" w:eastAsia="黑体" w:hAnsi="黑体" w:hint="eastAsia"/>
          <w:sz w:val="30"/>
          <w:szCs w:val="30"/>
        </w:rPr>
        <w:t>《草地学报》</w:t>
      </w:r>
      <w:r w:rsidRPr="00347305">
        <w:rPr>
          <w:rFonts w:ascii="黑体" w:eastAsia="黑体" w:hAnsi="黑体"/>
          <w:sz w:val="30"/>
          <w:szCs w:val="30"/>
        </w:rPr>
        <w:t>2022</w:t>
      </w:r>
      <w:r w:rsidRPr="00347305">
        <w:rPr>
          <w:rFonts w:ascii="黑体" w:eastAsia="黑体" w:hAnsi="黑体" w:hint="eastAsia"/>
          <w:sz w:val="30"/>
          <w:szCs w:val="30"/>
        </w:rPr>
        <w:t>年度优秀论文评选报名表</w:t>
      </w:r>
    </w:p>
    <w:tbl>
      <w:tblPr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668"/>
        <w:gridCol w:w="7404"/>
      </w:tblGrid>
      <w:tr w:rsidR="00F40886" w:rsidRPr="00347305" w14:paraId="77F00695" w14:textId="77777777" w:rsidTr="00F02463">
        <w:tc>
          <w:tcPr>
            <w:tcW w:w="1668" w:type="dxa"/>
            <w:shd w:val="clear" w:color="auto" w:fill="auto"/>
          </w:tcPr>
          <w:p w14:paraId="51E466CD" w14:textId="77777777" w:rsidR="00F40886" w:rsidRPr="00347305" w:rsidRDefault="00F40886" w:rsidP="00F02463">
            <w:pPr>
              <w:rPr>
                <w:rFonts w:ascii="仿宋" w:eastAsia="仿宋" w:hAnsi="仿宋"/>
                <w:sz w:val="28"/>
                <w:szCs w:val="28"/>
              </w:rPr>
            </w:pPr>
            <w:r w:rsidRPr="00347305">
              <w:rPr>
                <w:rFonts w:ascii="仿宋" w:eastAsia="仿宋" w:hAnsi="仿宋" w:hint="eastAsia"/>
                <w:sz w:val="28"/>
                <w:szCs w:val="28"/>
              </w:rPr>
              <w:t>论文题目</w:t>
            </w:r>
          </w:p>
        </w:tc>
        <w:tc>
          <w:tcPr>
            <w:tcW w:w="7404" w:type="dxa"/>
            <w:shd w:val="clear" w:color="auto" w:fill="auto"/>
          </w:tcPr>
          <w:p w14:paraId="4248A508" w14:textId="77777777" w:rsidR="00F40886" w:rsidRPr="00347305" w:rsidRDefault="00F40886" w:rsidP="00F02463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F40886" w:rsidRPr="00347305" w14:paraId="49B46042" w14:textId="77777777" w:rsidTr="00F02463">
        <w:tc>
          <w:tcPr>
            <w:tcW w:w="1668" w:type="dxa"/>
            <w:shd w:val="clear" w:color="auto" w:fill="auto"/>
          </w:tcPr>
          <w:p w14:paraId="4E398ACC" w14:textId="77777777" w:rsidR="00F40886" w:rsidRPr="00347305" w:rsidRDefault="00F40886" w:rsidP="00F02463">
            <w:pPr>
              <w:rPr>
                <w:rFonts w:ascii="仿宋" w:eastAsia="仿宋" w:hAnsi="仿宋"/>
                <w:sz w:val="28"/>
                <w:szCs w:val="28"/>
              </w:rPr>
            </w:pPr>
            <w:r w:rsidRPr="00347305">
              <w:rPr>
                <w:rFonts w:ascii="仿宋" w:eastAsia="仿宋" w:hAnsi="仿宋" w:hint="eastAsia"/>
                <w:sz w:val="28"/>
                <w:szCs w:val="28"/>
              </w:rPr>
              <w:t>作者姓名</w:t>
            </w:r>
          </w:p>
        </w:tc>
        <w:tc>
          <w:tcPr>
            <w:tcW w:w="7404" w:type="dxa"/>
            <w:shd w:val="clear" w:color="auto" w:fill="auto"/>
          </w:tcPr>
          <w:p w14:paraId="108E99F1" w14:textId="77777777" w:rsidR="00F40886" w:rsidRPr="00347305" w:rsidRDefault="00F40886" w:rsidP="00F02463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F40886" w:rsidRPr="00347305" w14:paraId="24399220" w14:textId="77777777" w:rsidTr="00F02463">
        <w:tc>
          <w:tcPr>
            <w:tcW w:w="1668" w:type="dxa"/>
            <w:shd w:val="clear" w:color="auto" w:fill="auto"/>
          </w:tcPr>
          <w:p w14:paraId="27DD962D" w14:textId="77777777" w:rsidR="00F40886" w:rsidRPr="00347305" w:rsidRDefault="00F40886" w:rsidP="00F02463">
            <w:pPr>
              <w:rPr>
                <w:rFonts w:ascii="仿宋" w:eastAsia="仿宋" w:hAnsi="仿宋"/>
                <w:sz w:val="28"/>
                <w:szCs w:val="28"/>
              </w:rPr>
            </w:pPr>
            <w:r w:rsidRPr="00347305">
              <w:rPr>
                <w:rFonts w:ascii="仿宋" w:eastAsia="仿宋" w:hAnsi="仿宋" w:hint="eastAsia"/>
                <w:sz w:val="28"/>
                <w:szCs w:val="28"/>
              </w:rPr>
              <w:t>工作单位</w:t>
            </w:r>
          </w:p>
        </w:tc>
        <w:tc>
          <w:tcPr>
            <w:tcW w:w="7404" w:type="dxa"/>
            <w:shd w:val="clear" w:color="auto" w:fill="auto"/>
          </w:tcPr>
          <w:p w14:paraId="7AD6F9C9" w14:textId="77777777" w:rsidR="00F40886" w:rsidRPr="00347305" w:rsidRDefault="00F40886" w:rsidP="00F02463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F40886" w:rsidRPr="00347305" w14:paraId="70024CED" w14:textId="77777777" w:rsidTr="00F02463">
        <w:tc>
          <w:tcPr>
            <w:tcW w:w="1668" w:type="dxa"/>
            <w:shd w:val="clear" w:color="auto" w:fill="auto"/>
          </w:tcPr>
          <w:p w14:paraId="4FA7A413" w14:textId="77777777" w:rsidR="00F40886" w:rsidRPr="00347305" w:rsidRDefault="00F40886" w:rsidP="00F02463">
            <w:pPr>
              <w:rPr>
                <w:rFonts w:ascii="仿宋" w:eastAsia="仿宋" w:hAnsi="仿宋"/>
                <w:sz w:val="28"/>
                <w:szCs w:val="28"/>
              </w:rPr>
            </w:pPr>
            <w:r w:rsidRPr="00347305">
              <w:rPr>
                <w:rFonts w:ascii="仿宋" w:eastAsia="仿宋" w:hAnsi="仿宋" w:hint="eastAsia"/>
                <w:sz w:val="28"/>
                <w:szCs w:val="28"/>
              </w:rPr>
              <w:t>联系方式</w:t>
            </w:r>
          </w:p>
        </w:tc>
        <w:tc>
          <w:tcPr>
            <w:tcW w:w="7404" w:type="dxa"/>
            <w:shd w:val="clear" w:color="auto" w:fill="auto"/>
          </w:tcPr>
          <w:p w14:paraId="6D4E4D8F" w14:textId="77777777" w:rsidR="00F40886" w:rsidRPr="00347305" w:rsidRDefault="00F40886" w:rsidP="00F02463">
            <w:pPr>
              <w:rPr>
                <w:rFonts w:ascii="仿宋" w:eastAsia="仿宋" w:hAnsi="仿宋"/>
                <w:sz w:val="28"/>
                <w:szCs w:val="28"/>
              </w:rPr>
            </w:pPr>
            <w:r w:rsidRPr="00347305">
              <w:rPr>
                <w:rFonts w:ascii="仿宋" w:eastAsia="仿宋" w:hAnsi="仿宋" w:hint="eastAsia"/>
                <w:sz w:val="28"/>
                <w:szCs w:val="28"/>
              </w:rPr>
              <w:t>电话：                邮件地址：</w:t>
            </w:r>
          </w:p>
        </w:tc>
      </w:tr>
      <w:tr w:rsidR="00F40886" w:rsidRPr="00347305" w14:paraId="2BE85A28" w14:textId="77777777" w:rsidTr="00F02463">
        <w:tc>
          <w:tcPr>
            <w:tcW w:w="1668" w:type="dxa"/>
            <w:shd w:val="clear" w:color="auto" w:fill="auto"/>
          </w:tcPr>
          <w:p w14:paraId="234E022E" w14:textId="77777777" w:rsidR="00F40886" w:rsidRPr="00347305" w:rsidRDefault="00F40886" w:rsidP="00F02463">
            <w:pPr>
              <w:rPr>
                <w:rFonts w:ascii="仿宋" w:eastAsia="仿宋" w:hAnsi="仿宋"/>
                <w:sz w:val="28"/>
                <w:szCs w:val="28"/>
              </w:rPr>
            </w:pPr>
            <w:r w:rsidRPr="00347305">
              <w:rPr>
                <w:rFonts w:ascii="仿宋" w:eastAsia="仿宋" w:hAnsi="仿宋" w:hint="eastAsia"/>
                <w:sz w:val="28"/>
                <w:szCs w:val="28"/>
              </w:rPr>
              <w:t>论文发表时间、期号</w:t>
            </w:r>
          </w:p>
        </w:tc>
        <w:tc>
          <w:tcPr>
            <w:tcW w:w="7404" w:type="dxa"/>
            <w:shd w:val="clear" w:color="auto" w:fill="auto"/>
          </w:tcPr>
          <w:p w14:paraId="02B66FB6" w14:textId="77777777" w:rsidR="00F40886" w:rsidRPr="00347305" w:rsidRDefault="00F40886" w:rsidP="00F02463">
            <w:pPr>
              <w:rPr>
                <w:rFonts w:ascii="仿宋" w:eastAsia="仿宋" w:hAnsi="仿宋"/>
                <w:sz w:val="28"/>
                <w:szCs w:val="28"/>
              </w:rPr>
            </w:pPr>
            <w:r w:rsidRPr="00347305">
              <w:rPr>
                <w:rFonts w:ascii="仿宋" w:eastAsia="仿宋" w:hAnsi="仿宋" w:hint="eastAsia"/>
                <w:sz w:val="28"/>
                <w:szCs w:val="28"/>
              </w:rPr>
              <w:t>（附刊发当期目录扫描件）</w:t>
            </w:r>
          </w:p>
        </w:tc>
      </w:tr>
      <w:tr w:rsidR="00F40886" w:rsidRPr="00347305" w14:paraId="2C5E9CFA" w14:textId="77777777" w:rsidTr="00F02463">
        <w:trPr>
          <w:trHeight w:val="5935"/>
        </w:trPr>
        <w:tc>
          <w:tcPr>
            <w:tcW w:w="1668" w:type="dxa"/>
            <w:shd w:val="clear" w:color="auto" w:fill="auto"/>
          </w:tcPr>
          <w:p w14:paraId="0BD77D7D" w14:textId="77777777" w:rsidR="00F40886" w:rsidRPr="00347305" w:rsidRDefault="00F40886" w:rsidP="00F02463">
            <w:pPr>
              <w:rPr>
                <w:rFonts w:ascii="仿宋" w:eastAsia="仿宋" w:hAnsi="仿宋"/>
                <w:sz w:val="28"/>
                <w:szCs w:val="28"/>
              </w:rPr>
            </w:pPr>
            <w:r w:rsidRPr="00347305">
              <w:rPr>
                <w:rFonts w:ascii="仿宋" w:eastAsia="仿宋" w:hAnsi="仿宋" w:hint="eastAsia"/>
                <w:sz w:val="28"/>
                <w:szCs w:val="28"/>
              </w:rPr>
              <w:t>论文的价值以及参赛理由（通过什么方法解决了哪些问题，有哪些重要发现，论文的价值以及重要意义。</w:t>
            </w:r>
          </w:p>
          <w:p w14:paraId="64F5DD6E" w14:textId="77777777" w:rsidR="00F40886" w:rsidRPr="00347305" w:rsidRDefault="00F40886" w:rsidP="00F02463">
            <w:pPr>
              <w:rPr>
                <w:rFonts w:ascii="仿宋" w:eastAsia="仿宋" w:hAnsi="仿宋"/>
                <w:sz w:val="28"/>
                <w:szCs w:val="28"/>
              </w:rPr>
            </w:pPr>
            <w:r w:rsidRPr="00347305">
              <w:rPr>
                <w:rFonts w:ascii="仿宋" w:eastAsia="仿宋" w:hAnsi="仿宋" w:hint="eastAsia"/>
                <w:sz w:val="28"/>
                <w:szCs w:val="28"/>
              </w:rPr>
              <w:t>（并附上主要结果的图片）</w:t>
            </w:r>
          </w:p>
        </w:tc>
        <w:tc>
          <w:tcPr>
            <w:tcW w:w="7404" w:type="dxa"/>
            <w:shd w:val="clear" w:color="auto" w:fill="auto"/>
          </w:tcPr>
          <w:p w14:paraId="473CA791" w14:textId="77777777" w:rsidR="00F40886" w:rsidRPr="00347305" w:rsidRDefault="00F40886" w:rsidP="00F02463">
            <w:pPr>
              <w:rPr>
                <w:rFonts w:ascii="仿宋" w:eastAsia="仿宋" w:hAnsi="仿宋"/>
                <w:sz w:val="22"/>
              </w:rPr>
            </w:pPr>
            <w:r w:rsidRPr="00347305">
              <w:rPr>
                <w:rFonts w:ascii="仿宋" w:eastAsia="仿宋" w:hAnsi="仿宋" w:hint="eastAsia"/>
                <w:b/>
                <w:bCs/>
                <w:sz w:val="22"/>
              </w:rPr>
              <w:t>举例</w:t>
            </w:r>
            <w:r w:rsidRPr="00347305">
              <w:rPr>
                <w:rFonts w:ascii="仿宋" w:eastAsia="仿宋" w:hAnsi="仿宋" w:hint="eastAsia"/>
                <w:sz w:val="22"/>
              </w:rPr>
              <w:t>（删除后填写）</w:t>
            </w:r>
          </w:p>
          <w:p w14:paraId="7CF54103" w14:textId="77777777" w:rsidR="00F40886" w:rsidRPr="00347305" w:rsidRDefault="00F40886" w:rsidP="00F02463">
            <w:pPr>
              <w:rPr>
                <w:rFonts w:ascii="仿宋" w:eastAsia="仿宋" w:hAnsi="仿宋"/>
                <w:sz w:val="20"/>
                <w:szCs w:val="20"/>
              </w:rPr>
            </w:pPr>
            <w:r w:rsidRPr="00347305">
              <w:rPr>
                <w:rFonts w:ascii="Helvetica" w:hAnsi="Helvetica" w:cs="Helvetica"/>
                <w:spacing w:val="8"/>
                <w:sz w:val="15"/>
                <w:szCs w:val="16"/>
                <w:shd w:val="clear" w:color="auto" w:fill="FFFFFF"/>
              </w:rPr>
              <w:t>在养分贫瘠的生态系统，植物为满足自身正常生长，一方面从土壤吸收有效养分，另一方面会活化根系储积养分并分配至地上部分。因此，</w:t>
            </w:r>
            <w:r w:rsidRPr="00347305">
              <w:rPr>
                <w:rStyle w:val="a7"/>
                <w:rFonts w:ascii="Helvetica" w:hAnsi="Helvetica" w:cs="Helvetica"/>
                <w:spacing w:val="8"/>
                <w:sz w:val="15"/>
                <w:szCs w:val="16"/>
                <w:shd w:val="clear" w:color="auto" w:fill="FFFFFF"/>
              </w:rPr>
              <w:t>根系储积养分向地上再分配过程是植物重要的养分获取策略之一，可有效缓解土壤有效养分库的波动及植物的养分限制，增强生态系统植物净初级生产力对胁迫环境的抗性。</w:t>
            </w:r>
            <w:r w:rsidRPr="00347305">
              <w:rPr>
                <w:rFonts w:ascii="Helvetica" w:hAnsi="Helvetica" w:cs="Helvetica"/>
                <w:spacing w:val="8"/>
                <w:sz w:val="15"/>
                <w:szCs w:val="16"/>
                <w:shd w:val="clear" w:color="auto" w:fill="FFFFFF"/>
              </w:rPr>
              <w:t>多年生草原生态系统，</w:t>
            </w:r>
            <w:proofErr w:type="gramStart"/>
            <w:r w:rsidRPr="00347305">
              <w:rPr>
                <w:rFonts w:ascii="Helvetica" w:hAnsi="Helvetica" w:cs="Helvetica"/>
                <w:spacing w:val="8"/>
                <w:sz w:val="15"/>
                <w:szCs w:val="16"/>
                <w:shd w:val="clear" w:color="auto" w:fill="FFFFFF"/>
              </w:rPr>
              <w:t>根氮的</w:t>
            </w:r>
            <w:proofErr w:type="gramEnd"/>
            <w:r w:rsidRPr="00347305">
              <w:rPr>
                <w:rFonts w:ascii="Helvetica" w:hAnsi="Helvetica" w:cs="Helvetica"/>
                <w:spacing w:val="8"/>
                <w:sz w:val="15"/>
                <w:szCs w:val="16"/>
                <w:shd w:val="clear" w:color="auto" w:fill="FFFFFF"/>
              </w:rPr>
              <w:t>地上再分配过程对于放牧或刈割干扰后，植物地上部分的再生长尤为重要，但鲜有研究对此进行量化。</w:t>
            </w:r>
            <w:r w:rsidRPr="00347305">
              <w:rPr>
                <w:rFonts w:ascii="Helvetica" w:hAnsi="Helvetica" w:cs="Helvetica" w:hint="eastAsia"/>
                <w:spacing w:val="8"/>
                <w:sz w:val="15"/>
                <w:szCs w:val="16"/>
                <w:shd w:val="clear" w:color="auto" w:fill="FFFFFF"/>
              </w:rPr>
              <w:t>该研究</w:t>
            </w:r>
            <w:r w:rsidRPr="00347305">
              <w:rPr>
                <w:rFonts w:ascii="Helvetica" w:hAnsi="Helvetica" w:cs="Helvetica"/>
                <w:spacing w:val="8"/>
                <w:sz w:val="15"/>
                <w:szCs w:val="16"/>
                <w:shd w:val="clear" w:color="auto" w:fill="FFFFFF"/>
              </w:rPr>
              <w:t>利用稳定性氮同位素</w:t>
            </w:r>
            <w:r w:rsidRPr="00347305">
              <w:rPr>
                <w:rFonts w:ascii="Helvetica" w:hAnsi="Helvetica" w:cs="Helvetica"/>
                <w:spacing w:val="8"/>
                <w:sz w:val="15"/>
                <w:szCs w:val="16"/>
                <w:shd w:val="clear" w:color="auto" w:fill="FFFFFF"/>
              </w:rPr>
              <w:t>15N</w:t>
            </w:r>
            <w:r w:rsidRPr="00347305">
              <w:rPr>
                <w:rFonts w:ascii="Helvetica" w:hAnsi="Helvetica" w:cs="Helvetica"/>
                <w:spacing w:val="8"/>
                <w:sz w:val="15"/>
                <w:szCs w:val="16"/>
                <w:shd w:val="clear" w:color="auto" w:fill="FFFFFF"/>
              </w:rPr>
              <w:t>与放射性磷同位素</w:t>
            </w:r>
            <w:r w:rsidRPr="00347305">
              <w:rPr>
                <w:rFonts w:ascii="Helvetica" w:hAnsi="Helvetica" w:cs="Helvetica"/>
                <w:spacing w:val="8"/>
                <w:sz w:val="15"/>
                <w:szCs w:val="16"/>
                <w:shd w:val="clear" w:color="auto" w:fill="FFFFFF"/>
              </w:rPr>
              <w:t>32P</w:t>
            </w:r>
            <w:r w:rsidRPr="00347305">
              <w:rPr>
                <w:rFonts w:ascii="Helvetica" w:hAnsi="Helvetica" w:cs="Helvetica"/>
                <w:spacing w:val="8"/>
                <w:sz w:val="15"/>
                <w:szCs w:val="16"/>
                <w:shd w:val="clear" w:color="auto" w:fill="FFFFFF"/>
              </w:rPr>
              <w:t>双标记技术，量化</w:t>
            </w:r>
            <w:proofErr w:type="gramStart"/>
            <w:r w:rsidRPr="00347305">
              <w:rPr>
                <w:rFonts w:ascii="Helvetica" w:hAnsi="Helvetica" w:cs="Helvetica"/>
                <w:spacing w:val="8"/>
                <w:sz w:val="15"/>
                <w:szCs w:val="16"/>
                <w:shd w:val="clear" w:color="auto" w:fill="FFFFFF"/>
              </w:rPr>
              <w:t>了根氮再分配</w:t>
            </w:r>
            <w:proofErr w:type="gramEnd"/>
            <w:r w:rsidRPr="00347305">
              <w:rPr>
                <w:rFonts w:ascii="Helvetica" w:hAnsi="Helvetica" w:cs="Helvetica"/>
                <w:spacing w:val="8"/>
                <w:sz w:val="15"/>
                <w:szCs w:val="16"/>
                <w:shd w:val="clear" w:color="auto" w:fill="FFFFFF"/>
              </w:rPr>
              <w:t>过程对刈割后植物再生长的贡献，以及干旱和氮添加对该过程的调控作用。</w:t>
            </w:r>
          </w:p>
          <w:p w14:paraId="67CBFA09" w14:textId="77777777" w:rsidR="00F40886" w:rsidRPr="00347305" w:rsidRDefault="00F40886" w:rsidP="00F02463">
            <w:pPr>
              <w:rPr>
                <w:rFonts w:ascii="仿宋" w:eastAsia="仿宋" w:hAnsi="仿宋"/>
                <w:sz w:val="32"/>
              </w:rPr>
            </w:pPr>
            <w:r w:rsidRPr="00347305">
              <w:rPr>
                <w:rFonts w:ascii="Helvetica" w:hAnsi="Helvetica" w:cs="Helvetica" w:hint="eastAsia"/>
                <w:spacing w:val="8"/>
                <w:sz w:val="15"/>
                <w:szCs w:val="16"/>
                <w:shd w:val="clear" w:color="auto" w:fill="FFFFFF"/>
              </w:rPr>
              <w:t>该</w:t>
            </w:r>
            <w:r w:rsidRPr="00347305">
              <w:rPr>
                <w:rFonts w:ascii="Helvetica" w:hAnsi="Helvetica" w:cs="Helvetica"/>
                <w:spacing w:val="8"/>
                <w:sz w:val="15"/>
                <w:szCs w:val="16"/>
                <w:shd w:val="clear" w:color="auto" w:fill="FFFFFF"/>
              </w:rPr>
              <w:t>研究发现，</w:t>
            </w:r>
            <w:proofErr w:type="gramStart"/>
            <w:r w:rsidRPr="00347305">
              <w:rPr>
                <w:rStyle w:val="a7"/>
                <w:rFonts w:ascii="Helvetica" w:hAnsi="Helvetica" w:cs="Helvetica"/>
                <w:spacing w:val="8"/>
                <w:sz w:val="15"/>
                <w:szCs w:val="16"/>
                <w:shd w:val="clear" w:color="auto" w:fill="FFFFFF"/>
              </w:rPr>
              <w:t>贫氮情景</w:t>
            </w:r>
            <w:proofErr w:type="gramEnd"/>
            <w:r w:rsidRPr="00347305">
              <w:rPr>
                <w:rStyle w:val="a7"/>
                <w:rFonts w:ascii="Helvetica" w:hAnsi="Helvetica" w:cs="Helvetica"/>
                <w:spacing w:val="8"/>
                <w:sz w:val="15"/>
                <w:szCs w:val="16"/>
                <w:shd w:val="clear" w:color="auto" w:fill="FFFFFF"/>
              </w:rPr>
              <w:t>下，植物氮、磷的吸收及再分配均未受干旱影响，主要是由于土壤有效氮含量不变、干旱降低有效磷运移导致。</w:t>
            </w:r>
            <w:proofErr w:type="gramStart"/>
            <w:r w:rsidRPr="00347305">
              <w:rPr>
                <w:rStyle w:val="a7"/>
                <w:rFonts w:ascii="Helvetica" w:hAnsi="Helvetica" w:cs="Helvetica"/>
                <w:spacing w:val="8"/>
                <w:sz w:val="15"/>
                <w:szCs w:val="16"/>
                <w:shd w:val="clear" w:color="auto" w:fill="FFFFFF"/>
              </w:rPr>
              <w:t>富氮情景</w:t>
            </w:r>
            <w:proofErr w:type="gramEnd"/>
            <w:r w:rsidRPr="00347305">
              <w:rPr>
                <w:rStyle w:val="a7"/>
                <w:rFonts w:ascii="Helvetica" w:hAnsi="Helvetica" w:cs="Helvetica"/>
                <w:spacing w:val="8"/>
                <w:sz w:val="15"/>
                <w:szCs w:val="16"/>
                <w:shd w:val="clear" w:color="auto" w:fill="FFFFFF"/>
              </w:rPr>
              <w:t>下，干旱增加了植物氮吸收量，降低了根系氮、磷的再分配量，可能是由于土壤有效氮含量增加及根系储积磷耗竭所致</w:t>
            </w:r>
            <w:r w:rsidRPr="00347305">
              <w:rPr>
                <w:rFonts w:ascii="Helvetica" w:hAnsi="Helvetica" w:cs="Helvetica"/>
                <w:spacing w:val="8"/>
                <w:sz w:val="15"/>
                <w:szCs w:val="16"/>
                <w:shd w:val="clear" w:color="auto" w:fill="FFFFFF"/>
              </w:rPr>
              <w:t>（图</w:t>
            </w:r>
            <w:r w:rsidRPr="00347305">
              <w:rPr>
                <w:rFonts w:ascii="Helvetica" w:hAnsi="Helvetica" w:cs="Helvetica"/>
                <w:spacing w:val="8"/>
                <w:sz w:val="15"/>
                <w:szCs w:val="16"/>
                <w:shd w:val="clear" w:color="auto" w:fill="FFFFFF"/>
              </w:rPr>
              <w:t>1</w:t>
            </w:r>
            <w:r w:rsidRPr="00347305">
              <w:rPr>
                <w:rFonts w:ascii="Helvetica" w:hAnsi="Helvetica" w:cs="Helvetica"/>
                <w:spacing w:val="8"/>
                <w:sz w:val="15"/>
                <w:szCs w:val="16"/>
                <w:shd w:val="clear" w:color="auto" w:fill="FFFFFF"/>
              </w:rPr>
              <w:t>）。总体而言，植物再生长过程所需氮、</w:t>
            </w:r>
            <w:proofErr w:type="gramStart"/>
            <w:r w:rsidRPr="00347305">
              <w:rPr>
                <w:rFonts w:ascii="Helvetica" w:hAnsi="Helvetica" w:cs="Helvetica"/>
                <w:spacing w:val="8"/>
                <w:sz w:val="15"/>
                <w:szCs w:val="16"/>
                <w:shd w:val="clear" w:color="auto" w:fill="FFFFFF"/>
              </w:rPr>
              <w:t>磷分别</w:t>
            </w:r>
            <w:proofErr w:type="gramEnd"/>
            <w:r w:rsidRPr="00347305">
              <w:rPr>
                <w:rFonts w:ascii="Helvetica" w:hAnsi="Helvetica" w:cs="Helvetica"/>
                <w:spacing w:val="8"/>
                <w:sz w:val="15"/>
                <w:szCs w:val="16"/>
                <w:shd w:val="clear" w:color="auto" w:fill="FFFFFF"/>
              </w:rPr>
              <w:t>有</w:t>
            </w:r>
            <w:r w:rsidRPr="00347305">
              <w:rPr>
                <w:rFonts w:ascii="Helvetica" w:hAnsi="Helvetica" w:cs="Helvetica"/>
                <w:spacing w:val="8"/>
                <w:sz w:val="15"/>
                <w:szCs w:val="16"/>
                <w:shd w:val="clear" w:color="auto" w:fill="FFFFFF"/>
              </w:rPr>
              <w:t>48%-97%</w:t>
            </w:r>
            <w:r w:rsidRPr="00347305">
              <w:rPr>
                <w:rFonts w:ascii="Helvetica" w:hAnsi="Helvetica" w:cs="Helvetica"/>
                <w:spacing w:val="8"/>
                <w:sz w:val="15"/>
                <w:szCs w:val="16"/>
                <w:shd w:val="clear" w:color="auto" w:fill="FFFFFF"/>
              </w:rPr>
              <w:t>和</w:t>
            </w:r>
            <w:r w:rsidRPr="00347305">
              <w:rPr>
                <w:rFonts w:ascii="Helvetica" w:hAnsi="Helvetica" w:cs="Helvetica"/>
                <w:spacing w:val="8"/>
                <w:sz w:val="15"/>
                <w:szCs w:val="16"/>
                <w:shd w:val="clear" w:color="auto" w:fill="FFFFFF"/>
              </w:rPr>
              <w:t>58%-79%</w:t>
            </w:r>
            <w:r w:rsidRPr="00347305">
              <w:rPr>
                <w:rFonts w:ascii="Helvetica" w:hAnsi="Helvetica" w:cs="Helvetica"/>
                <w:spacing w:val="8"/>
                <w:sz w:val="15"/>
                <w:szCs w:val="16"/>
                <w:shd w:val="clear" w:color="auto" w:fill="FFFFFF"/>
              </w:rPr>
              <w:t>来自根系储积养分（图</w:t>
            </w:r>
            <w:r w:rsidRPr="00347305">
              <w:rPr>
                <w:rFonts w:ascii="Helvetica" w:hAnsi="Helvetica" w:cs="Helvetica"/>
                <w:spacing w:val="8"/>
                <w:sz w:val="15"/>
                <w:szCs w:val="16"/>
                <w:shd w:val="clear" w:color="auto" w:fill="FFFFFF"/>
              </w:rPr>
              <w:t>2</w:t>
            </w:r>
            <w:r w:rsidRPr="00347305">
              <w:rPr>
                <w:rFonts w:ascii="Helvetica" w:hAnsi="Helvetica" w:cs="Helvetica"/>
                <w:spacing w:val="8"/>
                <w:sz w:val="15"/>
                <w:szCs w:val="16"/>
                <w:shd w:val="clear" w:color="auto" w:fill="FFFFFF"/>
              </w:rPr>
              <w:t>），表明</w:t>
            </w:r>
            <w:r w:rsidRPr="00347305">
              <w:rPr>
                <w:rStyle w:val="a7"/>
                <w:rFonts w:ascii="Helvetica" w:hAnsi="Helvetica" w:cs="Helvetica"/>
                <w:spacing w:val="8"/>
                <w:sz w:val="15"/>
                <w:szCs w:val="16"/>
                <w:shd w:val="clear" w:color="auto" w:fill="FFFFFF"/>
              </w:rPr>
              <w:t>根系氮、磷再分配是维持植物再生长的重要养分获取过程</w:t>
            </w:r>
            <w:r w:rsidRPr="00347305">
              <w:rPr>
                <w:rFonts w:ascii="Helvetica" w:hAnsi="Helvetica" w:cs="Helvetica"/>
                <w:spacing w:val="8"/>
                <w:sz w:val="22"/>
                <w:szCs w:val="24"/>
                <w:shd w:val="clear" w:color="auto" w:fill="FFFFFF"/>
              </w:rPr>
              <w:t>。</w:t>
            </w:r>
            <w:r w:rsidRPr="00347305">
              <w:rPr>
                <w:rFonts w:ascii="Helvetica" w:hAnsi="Helvetica" w:cs="Helvetica"/>
                <w:spacing w:val="8"/>
                <w:sz w:val="22"/>
                <w:szCs w:val="24"/>
                <w:shd w:val="clear" w:color="auto" w:fill="FFFFFF"/>
              </w:rPr>
              <w:t> </w:t>
            </w:r>
          </w:p>
          <w:p w14:paraId="1744257B" w14:textId="77777777" w:rsidR="00F40886" w:rsidRPr="00347305" w:rsidRDefault="00F40886" w:rsidP="00F02463">
            <w:pPr>
              <w:rPr>
                <w:rFonts w:ascii="仿宋" w:eastAsia="仿宋" w:hAnsi="仿宋"/>
                <w:sz w:val="28"/>
                <w:szCs w:val="28"/>
              </w:rPr>
            </w:pPr>
            <w:r w:rsidRPr="00347305">
              <w:rPr>
                <w:noProof/>
              </w:rPr>
              <w:drawing>
                <wp:inline distT="0" distB="0" distL="0" distR="0" wp14:anchorId="055A8CBF" wp14:editId="7DD62DF6">
                  <wp:extent cx="3841750" cy="1739900"/>
                  <wp:effectExtent l="0" t="0" r="6350" b="0"/>
                  <wp:docPr id="1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图片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41750" cy="1739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1C3BA8CB" w14:textId="11090CE0" w:rsidR="004F056F" w:rsidRPr="00F40886" w:rsidRDefault="00F40886">
      <w:pPr>
        <w:rPr>
          <w:rFonts w:ascii="&amp;quot" w:hAnsi="&amp;quot" w:hint="eastAsia"/>
          <w:sz w:val="28"/>
          <w:szCs w:val="28"/>
        </w:rPr>
      </w:pPr>
      <w:r w:rsidRPr="00347305">
        <w:rPr>
          <w:rFonts w:ascii="仿宋" w:eastAsia="仿宋" w:hAnsi="仿宋" w:hint="eastAsia"/>
          <w:sz w:val="28"/>
          <w:szCs w:val="28"/>
          <w:vertAlign w:val="superscript"/>
        </w:rPr>
        <w:t>注：论文全文以电子版形式发送，论文以电子版以“姓名+论文”命名</w:t>
      </w:r>
    </w:p>
    <w:sectPr w:rsidR="004F056F" w:rsidRPr="00F40886" w:rsidSect="00F40886">
      <w:type w:val="continuous"/>
      <w:pgSz w:w="11906" w:h="16838" w:code="9"/>
      <w:pgMar w:top="1440" w:right="1797" w:bottom="1440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A8966D" w14:textId="77777777" w:rsidR="00C10928" w:rsidRDefault="00C10928" w:rsidP="00F40886">
      <w:r>
        <w:separator/>
      </w:r>
    </w:p>
  </w:endnote>
  <w:endnote w:type="continuationSeparator" w:id="0">
    <w:p w14:paraId="70AB206B" w14:textId="77777777" w:rsidR="00C10928" w:rsidRDefault="00C10928" w:rsidP="00F408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&amp;quot">
    <w:altName w:val="Cambria"/>
    <w:panose1 w:val="00000000000000000000"/>
    <w:charset w:val="00"/>
    <w:family w:val="roman"/>
    <w:notTrueType/>
    <w:pitch w:val="default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4FDE28" w14:textId="77777777" w:rsidR="00C10928" w:rsidRDefault="00C10928" w:rsidP="00F40886">
      <w:r>
        <w:separator/>
      </w:r>
    </w:p>
  </w:footnote>
  <w:footnote w:type="continuationSeparator" w:id="0">
    <w:p w14:paraId="7C0474B7" w14:textId="77777777" w:rsidR="00C10928" w:rsidRDefault="00C10928" w:rsidP="00F4088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2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72E9"/>
    <w:rsid w:val="004F056F"/>
    <w:rsid w:val="00C10928"/>
    <w:rsid w:val="00C672E9"/>
    <w:rsid w:val="00E73EC9"/>
    <w:rsid w:val="00F408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6CC2735"/>
  <w15:chartTrackingRefBased/>
  <w15:docId w15:val="{275F82ED-DAEB-4FDF-AFA1-D7B730A090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40886"/>
    <w:pPr>
      <w:widowControl w:val="0"/>
      <w:jc w:val="both"/>
    </w:pPr>
    <w:rPr>
      <w:szCs w:val="32"/>
      <w:lang w:bidi="bo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4088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  <w:lang w:bidi="ar-SA"/>
    </w:rPr>
  </w:style>
  <w:style w:type="character" w:customStyle="1" w:styleId="a4">
    <w:name w:val="页眉 字符"/>
    <w:basedOn w:val="a0"/>
    <w:link w:val="a3"/>
    <w:uiPriority w:val="99"/>
    <w:rsid w:val="00F40886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F40886"/>
    <w:pPr>
      <w:tabs>
        <w:tab w:val="center" w:pos="4153"/>
        <w:tab w:val="right" w:pos="8306"/>
      </w:tabs>
      <w:snapToGrid w:val="0"/>
      <w:jc w:val="left"/>
    </w:pPr>
    <w:rPr>
      <w:sz w:val="18"/>
      <w:szCs w:val="18"/>
      <w:lang w:bidi="ar-SA"/>
    </w:rPr>
  </w:style>
  <w:style w:type="character" w:customStyle="1" w:styleId="a6">
    <w:name w:val="页脚 字符"/>
    <w:basedOn w:val="a0"/>
    <w:link w:val="a5"/>
    <w:uiPriority w:val="99"/>
    <w:rsid w:val="00F40886"/>
    <w:rPr>
      <w:sz w:val="18"/>
      <w:szCs w:val="18"/>
    </w:rPr>
  </w:style>
  <w:style w:type="character" w:styleId="a7">
    <w:name w:val="Strong"/>
    <w:uiPriority w:val="22"/>
    <w:qFormat/>
    <w:rsid w:val="00F4088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100</Words>
  <Characters>574</Characters>
  <Application>Microsoft Office Word</Application>
  <DocSecurity>0</DocSecurity>
  <Lines>4</Lines>
  <Paragraphs>1</Paragraphs>
  <ScaleCrop>false</ScaleCrop>
  <Company/>
  <LinksUpToDate>false</LinksUpToDate>
  <CharactersWithSpaces>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peng luxi</dc:creator>
  <cp:keywords/>
  <dc:description/>
  <cp:lastModifiedBy>peng luxi</cp:lastModifiedBy>
  <cp:revision>2</cp:revision>
  <dcterms:created xsi:type="dcterms:W3CDTF">2022-11-02T07:43:00Z</dcterms:created>
  <dcterms:modified xsi:type="dcterms:W3CDTF">2022-11-02T07:43:00Z</dcterms:modified>
</cp:coreProperties>
</file>